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7D" w:rsidRPr="00E0547D" w:rsidRDefault="00E0547D" w:rsidP="00E0547D">
      <w:pPr>
        <w:shd w:val="clear" w:color="auto" w:fill="FFFFFF"/>
        <w:spacing w:after="150"/>
        <w:outlineLvl w:val="2"/>
        <w:rPr>
          <w:rFonts w:eastAsia="Times New Roman" w:cs="Times New Roman"/>
          <w:b/>
          <w:bCs/>
          <w:color w:val="00468C"/>
          <w:sz w:val="30"/>
          <w:szCs w:val="30"/>
        </w:rPr>
      </w:pPr>
      <w:r w:rsidRPr="00E0547D">
        <w:rPr>
          <w:rFonts w:eastAsia="Times New Roman" w:cs="Times New Roman"/>
          <w:b/>
          <w:bCs/>
          <w:color w:val="00468C"/>
          <w:sz w:val="30"/>
          <w:szCs w:val="30"/>
        </w:rPr>
        <w:t>Những chính sách mới nổi bật có hiệu lực trong tháng 10 năm 2024</w:t>
      </w:r>
    </w:p>
    <w:p w:rsidR="00E0547D" w:rsidRPr="00E0547D" w:rsidRDefault="00E0547D" w:rsidP="00E0547D">
      <w:pPr>
        <w:shd w:val="clear" w:color="auto" w:fill="FFFFFF"/>
        <w:spacing w:after="300"/>
        <w:jc w:val="both"/>
        <w:rPr>
          <w:rFonts w:eastAsia="Times New Roman" w:cs="Times New Roman"/>
          <w:b/>
          <w:bCs/>
          <w:i/>
          <w:iCs/>
          <w:color w:val="333333"/>
          <w:sz w:val="23"/>
          <w:szCs w:val="23"/>
        </w:rPr>
      </w:pPr>
      <w:bookmarkStart w:id="0" w:name="_GoBack"/>
      <w:bookmarkEnd w:id="0"/>
      <w:proofErr w:type="gramStart"/>
      <w:r w:rsidRPr="00E0547D">
        <w:rPr>
          <w:rFonts w:eastAsia="Times New Roman" w:cs="Times New Roman"/>
          <w:b/>
          <w:bCs/>
          <w:i/>
          <w:iCs/>
          <w:color w:val="333333"/>
          <w:sz w:val="23"/>
          <w:szCs w:val="23"/>
        </w:rPr>
        <w:t>Quy định khai thác nhà, đất là tài sản công không sử dụng để ở; quy định về hành nghề công tác xã hội; sửa đổi quy định mới về quản lý tài sản công là một số chính sách mới có hiệu lực trong tháng 10.</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Trong tháng 10/2024, Chính phủ đã ban hành nhiều chính sách mới như Quy định việc khai thác nhà, đất là tài sản công không sử dụng để ở; quy định về hành nghề công tác xã hội; sửa đổi, bổ sung một số quy định mới về quản lý, sử dụng tài sản công</w:t>
      </w:r>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Quy định việc khai thác nhà, đất là tài sản công không sử dụng để ở</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Chính phủ ban hành Nghị định số 108/2024/NĐ-CP quy định việc quản lý, sử dụng và khai thác nhà, đất là tài sản công không sử dụng vào mục đích để ở giao cho tổ chức có chức năng quản lý, kinh doanh nhà địa phương quản lý, khai thác.</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Nghị định này quy định việc quản lý, sử dụng và khai thác nhà, công trình xây dựng gắn liền với đất là tài sản công không sử dụng vào mục đích để ở (sau đây gọi là nhà, đất) giao cho tổ chức có chức năng quản lý, kinh doanh nhà địa phương quản lý, khai thác với mục đích: Cho thuê nhà (gắn với quyền sử dụng đất); Tạm quản lý trong thời gian chờ thực hiện xử lý nhà, đất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Nghị định yêu cầu việc quản lý, sử dụng và khai thác nhà, đất phải đảm bảo hiệu quả, giải quyết nhu cầu về nhà, đất phục vụ nhiệm vụ phát triển kinh tế, xã hội của địa phương; công khai, minh bạch, đúng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giao nhà, đất cho tổ chức quản lý, kinh doanh nhà quản lý, khai thác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hình thức ghi tăng tài sản và giá trị tài sản không tính thành phần vốn Nhà nước tại doanh nghiệp.</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Tổ chức quản lý, kinh doanh nhà; tổ chức, cá nhân thuê nhà; cơ quan, tổ chức, đơn vị được bố trí nhà, đất sử dụng tạm thời thực hiện đầy đủ trách nhiệm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quản lý, sử dụng và khai thác nhà, đất phải được giám sát, thanh tra, kiểm tra, kiểm toán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mọi hành vi vi phạm pháp luật về quản lý, sử dụng và khai thác nhà, đất phải được phát hiện kịp thời, xử lý nghiêm minh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Theo quy định, việc cho thuê nhà (gắn với quyền sử dụng đất) của tổ chức quản lý, kinh doanh nhà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phương thức đấu giá, trừ các trường hợp thực hiện theo phương thức niêm yết giá.</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15/10/2024.</w:t>
      </w:r>
      <w:proofErr w:type="gramEnd"/>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Nghiêm cấm hành nghề công tác xã hội để trục lợi</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Chính phủ ban hành Nghị định số 110/2024/NĐ-CP về công tác xã hội; trong đó, quy định cụ thể 6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bị nghiêm cấm trong công tác xã hội.</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Theo Nghị định 110/2024/NĐ-CP, công tác xã hội là hoạt động hỗ trợ cá nhân, nhóm, gia đình và cộng đồng giải quyết các vấn đề xã hội.</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Đối tượng công tác xã hội là cá nhân, nhóm, gia đình và cộng đồng có nhu cầu sử dụng dịch vụ công tác xã hội (sau đây gọi là đối tượng).</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Công tác xã hội có chức năng hỗ trợ phòng ngừa; can thiệp, trị liệu; hỗ trợ phục hồi, phát triển đối tượng nhằm bảo đảm an sinh xã hội và xây dựng hạnh phúc của </w:t>
      </w:r>
      <w:r w:rsidRPr="00E0547D">
        <w:rPr>
          <w:rFonts w:eastAsia="Times New Roman" w:cs="Times New Roman"/>
          <w:color w:val="343A40"/>
          <w:sz w:val="27"/>
          <w:szCs w:val="27"/>
        </w:rPr>
        <w:lastRenderedPageBreak/>
        <w:t>người dân; góp phần bảo đảm thực hiện quyền, nhân phẩm, giá trị của con người, công bằng và bình đẳng xã hội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cũng quy định rõ 6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bị nghiêm cấm trong công tác xã hội:</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Cung cấp, công bố, tiết lộ, phá hủy thông tin, dữ liệu cá nhân của đối tượng mà không được sự đồng ý của đối tượng hoặc người giám hộ hoặc người đại diện trừ trường hợp cơ quan, cá nhân có thẩm quyền yêu cầu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Từ chối cung cấp dịch vụ công tác xã hội cho đối tượng cần sự bảo vệ khẩn cấp, trừ trường hợp bất khả kháng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Lợi dụng việc cung cấp dịch vụ công tác xã hội để trục lợi hoặc có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vi phạm pháp luật.</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Lợi dụng hành nghề công tác xã hội để trục lợi chế độ, chính sách của nhà nước và sự hỗ trợ, giúp đỡ của tổ chức, cá nhân.</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Thu các khoản chi phí, lợi ích ngoài khoản thù </w:t>
      </w:r>
      <w:proofErr w:type="gramStart"/>
      <w:r w:rsidRPr="00E0547D">
        <w:rPr>
          <w:rFonts w:eastAsia="Times New Roman" w:cs="Times New Roman"/>
          <w:color w:val="343A40"/>
          <w:sz w:val="27"/>
          <w:szCs w:val="27"/>
        </w:rPr>
        <w:t>lao</w:t>
      </w:r>
      <w:proofErr w:type="gramEnd"/>
      <w:r w:rsidRPr="00E0547D">
        <w:rPr>
          <w:rFonts w:eastAsia="Times New Roman" w:cs="Times New Roman"/>
          <w:color w:val="343A40"/>
          <w:sz w:val="27"/>
          <w:szCs w:val="27"/>
        </w:rPr>
        <w:t xml:space="preserve"> và chi phí được thỏa thuận thống nhất với tổ chức, cá nhân trong hợp đồng cung cấp dịch vụ công tác xã hội, trừ trường hợp các bên có thỏa thuận khác.</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Lợi dụng hành nghề công tác xã hội, cung cấp dịch vụ công tác xã hội để xâm phạm lợi ích Nhà nước, quyền, lợi ích hợp pháp của tổ chức, cá nhân.</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quy định cụ thể về dịch vụ công tác xã hội.</w:t>
      </w:r>
      <w:proofErr w:type="gramEnd"/>
      <w:r w:rsidRPr="00E0547D">
        <w:rPr>
          <w:rFonts w:eastAsia="Times New Roman" w:cs="Times New Roman"/>
          <w:color w:val="343A40"/>
          <w:sz w:val="27"/>
          <w:szCs w:val="27"/>
        </w:rPr>
        <w:t xml:space="preserve"> Đây là dịch vụ do tổ chức, cá nhân đủ điều kiện cung cấp hoạt động công tác xã hội thực hiện nhằm hỗ trợ giải quyết các vấn đề xã hội của cá nhân, nhóm, gia đình và cộng đồng.</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15/10/2024.</w:t>
      </w:r>
      <w:proofErr w:type="gramEnd"/>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Sửa đổi, bổ sung một số quy định mới về quản lý, sử dụng tài sản công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Chính phủ ban hành Nghị định số 114/2024/NĐ-CP sửa đổi, bổ sung một số điều của Nghị định số 151/2017/NĐ-CP ngày 26/12/2017 của Chính phủ quy định chi tiết một số điều của Luật Quản lý, sử dụng tài sản công.</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Trong đó, Nghị định số 114/2024/NĐ-CP sửa đổi Điều 3 Nghị định số 151/2017/NĐ-CP về mua sắm tài sản công phục vụ hoạt động của cơ quan nhà nước.</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Theo quy định mới, thẩm quyền, trình tự, thủ tục quyết định mua sắm tài sản công trong trường hợp phải lập thành dự án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khác có liên quan.</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Thẩm quyền quyết định mua sắm tài sản công trong trường hợp không thuộc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quy định trên được thực hiện như sau:</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Bộ trưởng, Thủ trưởng cơ quan ngang bộ, cơ quan thuộc Chính phủ, cơ quan khác ở trung ương (Bộ trưởng, Thủ trưởng cơ quan trung ương) quy định thẩm quyền quyết định mua sắm tài sản công phục vụ hoạt động của cơ quan nhà nước thuộc phạm vi quản lý của bộ, cơ quan trung ương.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Hội đồng nhân dân cấp tỉnh quy định thẩm quyền quyết định mua sắm tài sản công phục vụ hoạt động của cơ quan nhà nước thuộc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quản lý của địa phương.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số 114/2024/NĐ-CP quy định căn cứ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dự toán ngân sách được giao và nguồn kinh phí được phép sử dụng, cơ quan nhà nước tổ chức thực hiện mua sắm tài sản theo quy định của pháp luật về đấu thầu.</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tổ chức thực hiện mua sắm tài sản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phương thức tập trung được thực hiện theo quy định của pháp luật về đấu thầu và quy định tại Chương VI Nghị định này.</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lastRenderedPageBreak/>
        <w:t>Việc mua sắm tài sản quy định trên không bao gồm mua sắm dịch vụ phục vụ hoạt động của cơ quan nhà nước.</w:t>
      </w:r>
      <w:proofErr w:type="gramEnd"/>
      <w:r w:rsidRPr="00E0547D">
        <w:rPr>
          <w:rFonts w:eastAsia="Times New Roman" w:cs="Times New Roman"/>
          <w:color w:val="343A40"/>
          <w:sz w:val="27"/>
          <w:szCs w:val="27"/>
        </w:rPr>
        <w:t xml:space="preserve"> Việc mua sắm dịch vụ phục vụ hoạt động của cơ quan nhà nước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có liên quan.</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số 114/2024/NĐ-CP cũng bổ sung thêm Điều 3a quy định mua sắm, quản lý, sử dụng tài sản công là vật tiêu hao phục vụ hoạt động của cơ quan nhà nước. </w:t>
      </w:r>
      <w:proofErr w:type="gramStart"/>
      <w:r w:rsidRPr="00E0547D">
        <w:rPr>
          <w:rFonts w:eastAsia="Times New Roman" w:cs="Times New Roman"/>
          <w:color w:val="343A40"/>
          <w:sz w:val="27"/>
          <w:szCs w:val="27"/>
        </w:rPr>
        <w:t>Ngoài ra, Nghị định cũng sửa đổi Điều 4 Nghị định số 151/2017/NĐ-CP về thuê tài sản phục vụ hoạt động của cơ quan nhà nước.</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30/10/2024.</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Các Điều 96, 97, 98 và 99 Nghị định số 151/2017/NĐ-CP hết hiệu lực thi hành kể từ ngày 1/1/2025./.</w:t>
      </w:r>
      <w:proofErr w:type="gramEnd"/>
    </w:p>
    <w:p w:rsidR="00E0547D" w:rsidRPr="00E0547D" w:rsidRDefault="00E0547D" w:rsidP="00E0547D">
      <w:pPr>
        <w:shd w:val="clear" w:color="auto" w:fill="FFFFFF"/>
        <w:spacing w:before="90"/>
        <w:jc w:val="right"/>
        <w:outlineLvl w:val="3"/>
        <w:rPr>
          <w:rFonts w:eastAsia="Times New Roman" w:cs="Times New Roman"/>
          <w:b/>
          <w:bCs/>
          <w:color w:val="333333"/>
          <w:sz w:val="21"/>
          <w:szCs w:val="21"/>
        </w:rPr>
      </w:pPr>
      <w:proofErr w:type="gramStart"/>
      <w:r w:rsidRPr="00E0547D">
        <w:rPr>
          <w:rFonts w:eastAsia="Times New Roman" w:cs="Times New Roman"/>
          <w:b/>
          <w:bCs/>
          <w:color w:val="333333"/>
          <w:sz w:val="21"/>
          <w:szCs w:val="21"/>
        </w:rPr>
        <w:t>link</w:t>
      </w:r>
      <w:proofErr w:type="gramEnd"/>
      <w:r w:rsidRPr="00E0547D">
        <w:rPr>
          <w:rFonts w:eastAsia="Times New Roman" w:cs="Times New Roman"/>
          <w:b/>
          <w:bCs/>
          <w:color w:val="333333"/>
          <w:sz w:val="21"/>
          <w:szCs w:val="21"/>
        </w:rPr>
        <w:t xml:space="preserve"> https://www.vietnamplus.vn/nhung-chinh-sach-moi-noi-bat-co-hieu-luc-trong-thang-10-nam-2024-post979849.vnp</w:t>
      </w:r>
    </w:p>
    <w:p w:rsidR="00A249DF" w:rsidRPr="00E0547D" w:rsidRDefault="00A249DF">
      <w:pPr>
        <w:rPr>
          <w:rFonts w:cs="Times New Roman"/>
        </w:rPr>
      </w:pPr>
    </w:p>
    <w:sectPr w:rsidR="00A249DF" w:rsidRPr="00E0547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7D"/>
    <w:rsid w:val="00747037"/>
    <w:rsid w:val="00A249DF"/>
    <w:rsid w:val="00E0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547D"/>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0547D"/>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47D"/>
    <w:rPr>
      <w:rFonts w:eastAsia="Times New Roman" w:cs="Times New Roman"/>
      <w:b/>
      <w:bCs/>
      <w:sz w:val="27"/>
      <w:szCs w:val="27"/>
    </w:rPr>
  </w:style>
  <w:style w:type="character" w:customStyle="1" w:styleId="Heading4Char">
    <w:name w:val="Heading 4 Char"/>
    <w:basedOn w:val="DefaultParagraphFont"/>
    <w:link w:val="Heading4"/>
    <w:uiPriority w:val="9"/>
    <w:rsid w:val="00E0547D"/>
    <w:rPr>
      <w:rFonts w:eastAsia="Times New Roman" w:cs="Times New Roman"/>
      <w:b/>
      <w:bCs/>
      <w:sz w:val="24"/>
      <w:szCs w:val="24"/>
    </w:rPr>
  </w:style>
  <w:style w:type="paragraph" w:customStyle="1" w:styleId="lead">
    <w:name w:val="lead"/>
    <w:basedOn w:val="Normal"/>
    <w:rsid w:val="00E0547D"/>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0547D"/>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547D"/>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0547D"/>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47D"/>
    <w:rPr>
      <w:rFonts w:eastAsia="Times New Roman" w:cs="Times New Roman"/>
      <w:b/>
      <w:bCs/>
      <w:sz w:val="27"/>
      <w:szCs w:val="27"/>
    </w:rPr>
  </w:style>
  <w:style w:type="character" w:customStyle="1" w:styleId="Heading4Char">
    <w:name w:val="Heading 4 Char"/>
    <w:basedOn w:val="DefaultParagraphFont"/>
    <w:link w:val="Heading4"/>
    <w:uiPriority w:val="9"/>
    <w:rsid w:val="00E0547D"/>
    <w:rPr>
      <w:rFonts w:eastAsia="Times New Roman" w:cs="Times New Roman"/>
      <w:b/>
      <w:bCs/>
      <w:sz w:val="24"/>
      <w:szCs w:val="24"/>
    </w:rPr>
  </w:style>
  <w:style w:type="paragraph" w:customStyle="1" w:styleId="lead">
    <w:name w:val="lead"/>
    <w:basedOn w:val="Normal"/>
    <w:rsid w:val="00E0547D"/>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0547D"/>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061">
      <w:bodyDiv w:val="1"/>
      <w:marLeft w:val="0"/>
      <w:marRight w:val="0"/>
      <w:marTop w:val="0"/>
      <w:marBottom w:val="0"/>
      <w:divBdr>
        <w:top w:val="none" w:sz="0" w:space="0" w:color="auto"/>
        <w:left w:val="none" w:sz="0" w:space="0" w:color="auto"/>
        <w:bottom w:val="none" w:sz="0" w:space="0" w:color="auto"/>
        <w:right w:val="none" w:sz="0" w:space="0" w:color="auto"/>
      </w:divBdr>
      <w:divsChild>
        <w:div w:id="1324626589">
          <w:marLeft w:val="0"/>
          <w:marRight w:val="0"/>
          <w:marTop w:val="150"/>
          <w:marBottom w:val="300"/>
          <w:divBdr>
            <w:top w:val="none" w:sz="0" w:space="0" w:color="auto"/>
            <w:left w:val="none" w:sz="0" w:space="0" w:color="auto"/>
            <w:bottom w:val="single" w:sz="6" w:space="7" w:color="EEEEEE"/>
            <w:right w:val="none" w:sz="0" w:space="0" w:color="auto"/>
          </w:divBdr>
          <w:divsChild>
            <w:div w:id="1281571613">
              <w:marLeft w:val="0"/>
              <w:marRight w:val="0"/>
              <w:marTop w:val="0"/>
              <w:marBottom w:val="0"/>
              <w:divBdr>
                <w:top w:val="none" w:sz="0" w:space="0" w:color="auto"/>
                <w:left w:val="none" w:sz="0" w:space="0" w:color="auto"/>
                <w:bottom w:val="none" w:sz="0" w:space="0" w:color="auto"/>
                <w:right w:val="none" w:sz="0" w:space="0" w:color="auto"/>
              </w:divBdr>
              <w:divsChild>
                <w:div w:id="9989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B2641-9247-4ADD-B89A-5C7DA761AA48}"/>
</file>

<file path=customXml/itemProps2.xml><?xml version="1.0" encoding="utf-8"?>
<ds:datastoreItem xmlns:ds="http://schemas.openxmlformats.org/officeDocument/2006/customXml" ds:itemID="{E4AFB36F-FD6F-4401-86BA-CC04CE406E5D}"/>
</file>

<file path=customXml/itemProps3.xml><?xml version="1.0" encoding="utf-8"?>
<ds:datastoreItem xmlns:ds="http://schemas.openxmlformats.org/officeDocument/2006/customXml" ds:itemID="{86BEE920-7730-4629-9463-8958A0AA2598}"/>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2024-11-01T03:03:00Z</dcterms:created>
  <dcterms:modified xsi:type="dcterms:W3CDTF">2024-11-01T03:04:00Z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107400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